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DA2" w:rsidRDefault="00BB4DA2" w:rsidP="00BB4DA2">
      <w:pPr>
        <w:pStyle w:val="Default"/>
        <w:jc w:val="center"/>
        <w:rPr>
          <w:b/>
          <w:bCs/>
          <w:sz w:val="32"/>
          <w:szCs w:val="23"/>
        </w:rPr>
      </w:pPr>
      <w:r w:rsidRPr="0091339E">
        <w:rPr>
          <w:b/>
          <w:bCs/>
          <w:sz w:val="32"/>
          <w:szCs w:val="23"/>
        </w:rPr>
        <w:t>Методические рекомендации по проведению школьного этапа всероссийской олимпиады школьников по основам безопасности жизнедеятельности в 202</w:t>
      </w:r>
      <w:r>
        <w:rPr>
          <w:b/>
          <w:bCs/>
          <w:sz w:val="32"/>
          <w:szCs w:val="23"/>
        </w:rPr>
        <w:t>3</w:t>
      </w:r>
      <w:r w:rsidRPr="0091339E">
        <w:rPr>
          <w:b/>
          <w:bCs/>
          <w:sz w:val="32"/>
          <w:szCs w:val="23"/>
        </w:rPr>
        <w:t>/2</w:t>
      </w:r>
      <w:r>
        <w:rPr>
          <w:b/>
          <w:bCs/>
          <w:sz w:val="32"/>
          <w:szCs w:val="23"/>
        </w:rPr>
        <w:t>4</w:t>
      </w:r>
      <w:r w:rsidRPr="0091339E">
        <w:rPr>
          <w:b/>
          <w:bCs/>
          <w:sz w:val="32"/>
          <w:szCs w:val="23"/>
        </w:rPr>
        <w:t xml:space="preserve"> учебном году</w:t>
      </w:r>
    </w:p>
    <w:bookmarkStart w:id="0" w:name="_Toc145669244" w:displacedByCustomXml="next"/>
    <w:sdt>
      <w:sdtPr>
        <w:id w:val="770042571"/>
        <w:docPartObj>
          <w:docPartGallery w:val="Table of Contents"/>
          <w:docPartUnique/>
        </w:docPartObj>
      </w:sdtPr>
      <w:sdtEndPr>
        <w:rPr>
          <w:color w:val="auto"/>
          <w:sz w:val="22"/>
          <w:szCs w:val="22"/>
        </w:rPr>
      </w:sdtEndPr>
      <w:sdtContent>
        <w:p w:rsidR="006F04DF" w:rsidRPr="006F04DF" w:rsidRDefault="006F04DF" w:rsidP="0048063C">
          <w:pPr>
            <w:pStyle w:val="1"/>
          </w:pPr>
          <w:r w:rsidRPr="006F04DF">
            <w:t>Оглавление</w:t>
          </w:r>
          <w:bookmarkEnd w:id="0"/>
        </w:p>
        <w:p w:rsidR="0048063C" w:rsidRPr="0048063C" w:rsidRDefault="006F04DF">
          <w:pPr>
            <w:pStyle w:val="11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48063C">
            <w:rPr>
              <w:rFonts w:ascii="Times New Roman" w:hAnsi="Times New Roman" w:cs="Times New Roman"/>
              <w:b/>
              <w:bCs/>
            </w:rPr>
            <w:fldChar w:fldCharType="begin"/>
          </w:r>
          <w:r w:rsidRPr="0048063C">
            <w:rPr>
              <w:rFonts w:ascii="Times New Roman" w:hAnsi="Times New Roman" w:cs="Times New Roman"/>
              <w:b/>
              <w:bCs/>
            </w:rPr>
            <w:instrText xml:space="preserve"> TOC \o "1-3" \h \z \u </w:instrText>
          </w:r>
          <w:r w:rsidRPr="0048063C">
            <w:rPr>
              <w:rFonts w:ascii="Times New Roman" w:hAnsi="Times New Roman" w:cs="Times New Roman"/>
              <w:b/>
              <w:bCs/>
            </w:rPr>
            <w:fldChar w:fldCharType="separate"/>
          </w:r>
          <w:hyperlink w:anchor="_Toc145669244" w:history="1">
            <w:r w:rsidR="0048063C" w:rsidRPr="0048063C">
              <w:rPr>
                <w:rStyle w:val="a6"/>
                <w:rFonts w:ascii="Times New Roman" w:hAnsi="Times New Roman" w:cs="Times New Roman"/>
                <w:noProof/>
              </w:rPr>
              <w:t>Оглавление</w:t>
            </w:r>
            <w:r w:rsidR="0048063C" w:rsidRPr="004806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8063C" w:rsidRPr="004806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48063C" w:rsidRPr="0048063C">
              <w:rPr>
                <w:rFonts w:ascii="Times New Roman" w:hAnsi="Times New Roman" w:cs="Times New Roman"/>
                <w:noProof/>
                <w:webHidden/>
              </w:rPr>
              <w:instrText xml:space="preserve"> PAGEREF _Toc145669244 \h </w:instrText>
            </w:r>
            <w:r w:rsidR="0048063C" w:rsidRPr="0048063C">
              <w:rPr>
                <w:rFonts w:ascii="Times New Roman" w:hAnsi="Times New Roman" w:cs="Times New Roman"/>
                <w:noProof/>
                <w:webHidden/>
              </w:rPr>
            </w:r>
            <w:r w:rsidR="0048063C" w:rsidRPr="004806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8063C" w:rsidRPr="0048063C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="0048063C" w:rsidRPr="004806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8063C" w:rsidRPr="0048063C" w:rsidRDefault="0048063C">
          <w:pPr>
            <w:pStyle w:val="11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5669245" w:history="1">
            <w:r w:rsidRPr="0048063C">
              <w:rPr>
                <w:rStyle w:val="a6"/>
                <w:rFonts w:ascii="Times New Roman" w:hAnsi="Times New Roman" w:cs="Times New Roman"/>
                <w:noProof/>
              </w:rPr>
              <w:t>Введение</w: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instrText xml:space="preserve"> PAGEREF _Toc145669245 \h </w:instrTex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8063C" w:rsidRPr="0048063C" w:rsidRDefault="0048063C">
          <w:pPr>
            <w:pStyle w:val="11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5669246" w:history="1">
            <w:r w:rsidRPr="0048063C">
              <w:rPr>
                <w:rStyle w:val="a6"/>
                <w:rFonts w:ascii="Times New Roman" w:hAnsi="Times New Roman" w:cs="Times New Roman"/>
                <w:noProof/>
              </w:rPr>
              <w:t>1. Порядок проведения школьного этапа олимпиады</w: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instrText xml:space="preserve"> PAGEREF _Toc145669246 \h </w:instrTex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8063C" w:rsidRPr="0048063C" w:rsidRDefault="0048063C">
          <w:pPr>
            <w:pStyle w:val="11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5669247" w:history="1">
            <w:r w:rsidRPr="0048063C">
              <w:rPr>
                <w:rStyle w:val="a6"/>
                <w:rFonts w:ascii="Times New Roman" w:hAnsi="Times New Roman" w:cs="Times New Roman"/>
                <w:noProof/>
              </w:rPr>
              <w:t>2. Необходимое материально-техническое обеспечение для выполнения олимпиадных заданий школьного этапа олимпиады</w: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instrText xml:space="preserve"> PAGEREF _Toc145669247 \h </w:instrTex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8063C" w:rsidRPr="0048063C" w:rsidRDefault="0048063C">
          <w:pPr>
            <w:pStyle w:val="11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5669248" w:history="1">
            <w:r w:rsidRPr="0048063C">
              <w:rPr>
                <w:rStyle w:val="a6"/>
                <w:rFonts w:ascii="Times New Roman" w:hAnsi="Times New Roman" w:cs="Times New Roman"/>
                <w:noProof/>
              </w:rPr>
              <w:t>3. 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instrText xml:space="preserve"> PAGEREF _Toc145669248 \h </w:instrTex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8063C" w:rsidRPr="0048063C" w:rsidRDefault="0048063C">
          <w:pPr>
            <w:pStyle w:val="11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5669249" w:history="1">
            <w:r w:rsidRPr="0048063C">
              <w:rPr>
                <w:rStyle w:val="a6"/>
                <w:rFonts w:ascii="Times New Roman" w:hAnsi="Times New Roman" w:cs="Times New Roman"/>
                <w:noProof/>
              </w:rPr>
              <w:t>4. Критерии и методика оценивания выполненных олимпиадных заданий</w: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instrText xml:space="preserve"> PAGEREF _Toc145669249 \h </w:instrTex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48063C" w:rsidRPr="0048063C" w:rsidRDefault="0048063C">
          <w:pPr>
            <w:pStyle w:val="11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5669250" w:history="1">
            <w:r w:rsidRPr="0048063C">
              <w:rPr>
                <w:rStyle w:val="a6"/>
                <w:rFonts w:ascii="Times New Roman" w:hAnsi="Times New Roman" w:cs="Times New Roman"/>
                <w:noProof/>
              </w:rPr>
              <w:t>5. Приложение</w: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instrText xml:space="preserve"> PAGEREF _Toc145669250 \h </w:instrTex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4806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6F04DF" w:rsidRPr="0048063C" w:rsidRDefault="006F04DF">
          <w:pPr>
            <w:rPr>
              <w:rFonts w:ascii="Times New Roman" w:hAnsi="Times New Roman" w:cs="Times New Roman"/>
            </w:rPr>
          </w:pPr>
          <w:r w:rsidRPr="0048063C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BB4DA2" w:rsidRPr="0048063C" w:rsidRDefault="00BB4DA2" w:rsidP="0048063C">
      <w:pPr>
        <w:pStyle w:val="1"/>
      </w:pPr>
      <w:bookmarkStart w:id="1" w:name="_Toc145669245"/>
      <w:r w:rsidRPr="0048063C">
        <w:t>Введение</w:t>
      </w:r>
      <w:bookmarkEnd w:id="1"/>
      <w:r w:rsidRPr="0048063C">
        <w:t xml:space="preserve"> </w:t>
      </w:r>
    </w:p>
    <w:p w:rsidR="00BB4DA2" w:rsidRPr="00BB4DA2" w:rsidRDefault="00BB4DA2" w:rsidP="00FE6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4DA2">
        <w:rPr>
          <w:rFonts w:ascii="Times New Roman" w:hAnsi="Times New Roman" w:cs="Times New Roman"/>
          <w:color w:val="000000"/>
          <w:sz w:val="24"/>
          <w:szCs w:val="24"/>
        </w:rPr>
        <w:t>Настоящие рекомендации по организации и проведению школьного этап</w:t>
      </w:r>
      <w:r w:rsidRPr="0048063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BB4DA2">
        <w:rPr>
          <w:rFonts w:ascii="Times New Roman" w:hAnsi="Times New Roman" w:cs="Times New Roman"/>
          <w:color w:val="000000"/>
          <w:sz w:val="24"/>
          <w:szCs w:val="24"/>
        </w:rPr>
        <w:t xml:space="preserve"> всероссийской олимпиады школьников (далее – олимпиада) по основам безопасности жизнедеятельности (далее – ОБЖ)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школьников», с учетом опыта проведения всех этапов олимпиад прошлых лет и предназначены для использования муниципальными предметно-методическими комиссиями, а также организаторами школьного этап</w:t>
      </w:r>
      <w:r w:rsidRPr="0048063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BB4DA2">
        <w:rPr>
          <w:rFonts w:ascii="Times New Roman" w:hAnsi="Times New Roman" w:cs="Times New Roman"/>
          <w:color w:val="000000"/>
          <w:sz w:val="24"/>
          <w:szCs w:val="24"/>
        </w:rPr>
        <w:t xml:space="preserve"> олимпиады по ОБЖ. </w:t>
      </w:r>
    </w:p>
    <w:p w:rsidR="00BB4DA2" w:rsidRPr="00BB4DA2" w:rsidRDefault="00BB4DA2" w:rsidP="00FE6C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B4DA2">
        <w:rPr>
          <w:rFonts w:ascii="Times New Roman" w:hAnsi="Times New Roman" w:cs="Times New Roman"/>
          <w:color w:val="000000"/>
          <w:sz w:val="24"/>
          <w:szCs w:val="24"/>
        </w:rPr>
        <w:t xml:space="preserve">Олимпиада по ОБЖ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BB4DA2" w:rsidRPr="00BB4DA2" w:rsidRDefault="00BB4DA2" w:rsidP="00FE6C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B4DA2">
        <w:rPr>
          <w:rFonts w:ascii="Times New Roman" w:hAnsi="Times New Roman" w:cs="Times New Roman"/>
          <w:color w:val="000000"/>
          <w:sz w:val="24"/>
          <w:szCs w:val="24"/>
        </w:rPr>
        <w:t xml:space="preserve">Задачи олимпиады: </w:t>
      </w:r>
    </w:p>
    <w:p w:rsidR="00BB4DA2" w:rsidRPr="0048063C" w:rsidRDefault="00BB4DA2" w:rsidP="00FE6CA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063C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знаний участников олимпиады об: основах безопасности личности, общества и государства; основах комплексной безопасности; защите населения Российской Федерации от чрезвычайных ситуаций; основах противодействия терроризму, экстремизму и наркотизму в Российской Федерации; основах медицинских знаний, здорового образа жизни и оказании первой помощи; основах обороны государства; правовых основах военной службы, элементах начальной военной подготовки и военно-профессиональной деятельности; </w:t>
      </w:r>
    </w:p>
    <w:p w:rsidR="00BB4DA2" w:rsidRPr="0048063C" w:rsidRDefault="00BB4DA2" w:rsidP="00FE6CA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063C">
        <w:rPr>
          <w:rFonts w:ascii="Times New Roman" w:hAnsi="Times New Roman" w:cs="Times New Roman"/>
          <w:color w:val="000000"/>
          <w:sz w:val="24"/>
          <w:szCs w:val="24"/>
        </w:rPr>
        <w:t xml:space="preserve">совершенствование умений участников олимпиады оценивать ситуации, опасные для жизни и здоровья; действовать в чрезвычайных ситуациях различного генезиса; использовать средства индивидуальной и коллективной защиты; оказывать первую помощь пострадавшим. </w:t>
      </w:r>
    </w:p>
    <w:p w:rsidR="00BB4DA2" w:rsidRPr="00BB4DA2" w:rsidRDefault="00BB4DA2" w:rsidP="00FE6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4DA2">
        <w:rPr>
          <w:rFonts w:ascii="Times New Roman" w:hAnsi="Times New Roman" w:cs="Times New Roman"/>
          <w:color w:val="000000"/>
          <w:sz w:val="24"/>
          <w:szCs w:val="24"/>
        </w:rPr>
        <w:t xml:space="preserve">Олимпиада проводится на территории Российской Федерации. Рабочим языком проведения олимпиады является русский язык. </w:t>
      </w:r>
    </w:p>
    <w:p w:rsidR="00BB4DA2" w:rsidRPr="0048063C" w:rsidRDefault="00BB4DA2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063C">
        <w:rPr>
          <w:rFonts w:ascii="Times New Roman" w:hAnsi="Times New Roman" w:cs="Times New Roman"/>
          <w:color w:val="000000"/>
          <w:sz w:val="24"/>
          <w:szCs w:val="24"/>
        </w:rPr>
        <w:t>Участие в олимпиаде индивидуальное, олимпиадные задания выполняются участником самостоятельно, без помощи посторонних лиц.</w:t>
      </w:r>
    </w:p>
    <w:p w:rsidR="00BB4DA2" w:rsidRPr="0048063C" w:rsidRDefault="00BB4DA2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lastRenderedPageBreak/>
        <w:t>Школьный этап олимпиады проводится по заданиям, разработанным для 5-11 классов. Участник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</w:t>
      </w:r>
      <w:r w:rsidRPr="0048063C">
        <w:rPr>
          <w:rFonts w:ascii="Times New Roman" w:hAnsi="Times New Roman" w:cs="Times New Roman"/>
          <w:sz w:val="24"/>
          <w:szCs w:val="24"/>
        </w:rPr>
        <w:t xml:space="preserve"> </w:t>
      </w:r>
      <w:r w:rsidRPr="0048063C">
        <w:rPr>
          <w:rFonts w:ascii="Times New Roman" w:hAnsi="Times New Roman" w:cs="Times New Roman"/>
          <w:sz w:val="24"/>
          <w:szCs w:val="24"/>
        </w:rPr>
        <w:t>олимпиады выполняют олимпиадные задания, разработанные для класса, который они выбрали на предыдущем этапе олимпиады.</w:t>
      </w:r>
    </w:p>
    <w:p w:rsidR="00BB4DA2" w:rsidRPr="0048063C" w:rsidRDefault="00BB4DA2" w:rsidP="0048063C">
      <w:pPr>
        <w:pStyle w:val="1"/>
      </w:pPr>
      <w:bookmarkStart w:id="2" w:name="_Toc145669246"/>
      <w:r w:rsidRPr="0048063C">
        <w:t>1. Порядок проведения школьного этапа олимпиады</w:t>
      </w:r>
      <w:bookmarkEnd w:id="2"/>
    </w:p>
    <w:p w:rsidR="00BB4DA2" w:rsidRPr="0048063C" w:rsidRDefault="00BB4DA2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Школьный этап олимпиады по ОБЖ состоит из двух соревновательных туров (теоретического и практического). Теоретический и практический туры рекомендуется проводить в разные дни. Участники допускаются ко всем предусмотренным программой турам. Промежуточные результаты не могут служить основанием для отстранения от участия в олимпиаде.</w:t>
      </w:r>
    </w:p>
    <w:p w:rsidR="00BB4DA2" w:rsidRPr="0048063C" w:rsidRDefault="00BB4DA2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b/>
          <w:sz w:val="24"/>
          <w:szCs w:val="24"/>
          <w:u w:val="single"/>
        </w:rPr>
        <w:t>Теоретический тур</w:t>
      </w:r>
      <w:r w:rsidRPr="0048063C">
        <w:rPr>
          <w:rFonts w:ascii="Times New Roman" w:hAnsi="Times New Roman" w:cs="Times New Roman"/>
          <w:sz w:val="24"/>
          <w:szCs w:val="24"/>
        </w:rPr>
        <w:t xml:space="preserve"> включает выполнение участниками письменных заданий по различным темам курса ОБЖ, проводится отдельно для участников различных классов. Допускается объединение 5-8 классов в возрастные группы, например, первая группа 5-6 классы, вторая группа 7-8 классы. Все рабочие места участников должны обеспечивать им равные условия, соответствовать действующим на момент проведения олимпиады санитарно-эпидемиологическим правилам и нормам. План (схема) размещения участников составляется оргкомитетом. Места размещения участников номеруются. Проведению теоретического тура предшествует краткий инструктаж участников о правилах участия в олимпиаде, а также консультация и инструктаж для членов жюри. Перед началом теоретического тура лица, сопровождающие участников, предупреждаются о недопустимости контактов с участниками до окончания тура. В случае такого контакта представитель организатора вправе удалить данного участника из аудитории, составив акт об удалении участника олимпиады.</w:t>
      </w:r>
    </w:p>
    <w:p w:rsidR="006E65A9" w:rsidRPr="0048063C" w:rsidRDefault="00BB4DA2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В помещениях, где проводятся теоретические туры, оргкомитетом организуется дежурство из числа членов жюри, оргкомитета или полномочных представителей организатора соответствующего этапа олимпиады (далее – дежурный). Дежурные выполняют следующие функции:</w:t>
      </w:r>
    </w:p>
    <w:p w:rsidR="006E65A9" w:rsidRPr="0048063C" w:rsidRDefault="00BB4DA2" w:rsidP="00FE6CA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вызывают участников по списку с указанием номера и организованно рассаживают их за столы или парты;</w:t>
      </w:r>
    </w:p>
    <w:p w:rsidR="006E65A9" w:rsidRPr="0048063C" w:rsidRDefault="00BB4DA2" w:rsidP="00FE6CA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после рассадки участников раздают им бланки ответов;</w:t>
      </w:r>
    </w:p>
    <w:p w:rsidR="006E65A9" w:rsidRPr="0048063C" w:rsidRDefault="00BB4DA2" w:rsidP="00FE6CA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контролируют правильное заполнение титульных листов бланков ответов участниками теоретического тура;</w:t>
      </w:r>
    </w:p>
    <w:p w:rsidR="006E65A9" w:rsidRPr="0048063C" w:rsidRDefault="00BB4DA2" w:rsidP="00FE6CA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после заполнения всеми участниками бланков ответов раздают им бланки заданий;</w:t>
      </w:r>
    </w:p>
    <w:p w:rsidR="006E65A9" w:rsidRPr="0048063C" w:rsidRDefault="00BB4DA2" w:rsidP="00FE6CA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записывают на доске (стенде) время начала и окончания теоретического тура;</w:t>
      </w:r>
    </w:p>
    <w:p w:rsidR="006E65A9" w:rsidRPr="0048063C" w:rsidRDefault="00BB4DA2" w:rsidP="00FE6CA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за полчаса до истечения времени, отведенного для выполнения заданий, предупреждают об этом участников;</w:t>
      </w:r>
    </w:p>
    <w:p w:rsidR="006E65A9" w:rsidRPr="0048063C" w:rsidRDefault="00BB4DA2" w:rsidP="00FE6CA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следят за соблюдением участниками Требований к проведению соответствующего этапа олимпиады и действующего Порядка;</w:t>
      </w:r>
    </w:p>
    <w:p w:rsidR="006E65A9" w:rsidRPr="0048063C" w:rsidRDefault="00BB4DA2" w:rsidP="00FE6CA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по запросам участников выдают им черновики;</w:t>
      </w:r>
    </w:p>
    <w:p w:rsidR="00BB4DA2" w:rsidRPr="0048063C" w:rsidRDefault="00BB4DA2" w:rsidP="00FE6CA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по окончании теоретического тура принимают у участников бланки заданий, бланки ответов и черновики, проверяют наличие всех листов;</w:t>
      </w:r>
    </w:p>
    <w:p w:rsidR="00BB4DA2" w:rsidRPr="0048063C" w:rsidRDefault="00BB4DA2" w:rsidP="00FE6CA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выдают задания практического тура олимпиады участникам после окончания теоретического тура (если это предусмотрено требованиями);</w:t>
      </w:r>
    </w:p>
    <w:p w:rsidR="006E65A9" w:rsidRPr="0048063C" w:rsidRDefault="00BB4DA2" w:rsidP="00FE6CA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lastRenderedPageBreak/>
        <w:t>в случае нарушения настоящих Требований к проведению соответствующего этапа олимпиады и действующего Порядка докладывает об этом председателю (заместителю председателя) жюри.</w:t>
      </w:r>
    </w:p>
    <w:p w:rsidR="008C74DA" w:rsidRPr="0048063C" w:rsidRDefault="00BB4DA2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При проведении теоретического тура для всех участников устанавливаются следующие общие правила:</w:t>
      </w:r>
    </w:p>
    <w:p w:rsidR="008C74DA" w:rsidRPr="0048063C" w:rsidRDefault="00BB4DA2" w:rsidP="00FE6C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перед входом в аудиторию участник должен предъявить паспорт или другой документ, удостоверяющий личность;</w:t>
      </w:r>
    </w:p>
    <w:p w:rsidR="008C74DA" w:rsidRPr="0048063C" w:rsidRDefault="00BB4DA2" w:rsidP="00FE6C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каждый участник должен сидеть в аудитории за отдельным столом, который определён оргкомитетом;</w:t>
      </w:r>
    </w:p>
    <w:p w:rsidR="008C74DA" w:rsidRPr="0048063C" w:rsidRDefault="00BB4DA2" w:rsidP="00FE6C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участник имеет право взять с собой в аудиторию прохладительные напитки в прозрачной таре;</w:t>
      </w:r>
    </w:p>
    <w:p w:rsidR="00BB4DA2" w:rsidRPr="0048063C" w:rsidRDefault="00BB4DA2" w:rsidP="00FE6C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в аудиторию не разрешается брать бумагу, справочные материалы (словари, справочники, учебники и т.д.), мобильные телефоны, диктофоны, плейеры и любые другие средства хранения и передачи информации;</w:t>
      </w:r>
    </w:p>
    <w:p w:rsidR="008C74DA" w:rsidRPr="0048063C" w:rsidRDefault="008C74DA" w:rsidP="00FE6C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во время выполнения заданий разговоры и другие формы общения между участниками запрещаются;</w:t>
      </w:r>
    </w:p>
    <w:p w:rsidR="008C74DA" w:rsidRPr="0048063C" w:rsidRDefault="008C74DA" w:rsidP="00FE6C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во время выполнения задания участник не вправе свободно перемещаться по аудитории, он может выходить из аудитории только в сопровождении дежурного, при этом бланки заданий, бланки ответов и черновики сдаются дежурному (остаются в аудитории);</w:t>
      </w:r>
    </w:p>
    <w:p w:rsidR="008C74DA" w:rsidRPr="0048063C" w:rsidRDefault="008C74DA" w:rsidP="00FE6C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участникам запрещается делать пометки на бланках ответов, которые позволяют идентифицировать работу, умышленно повреждать бланки ответов и бланки заданий, мешать другим участникам выполнять задания;</w:t>
      </w:r>
    </w:p>
    <w:p w:rsidR="008C74DA" w:rsidRPr="0048063C" w:rsidRDefault="008C74DA" w:rsidP="00FE6C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участники, досрочно выполнившие задания, сдают дежурному бланки ответов, бланки заданий и черновики, покидают аудиторию без права вернуться для продолжения выполнения заданий;</w:t>
      </w:r>
    </w:p>
    <w:p w:rsidR="008C74DA" w:rsidRPr="0048063C" w:rsidRDefault="008C74DA" w:rsidP="00FE6C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в случае, если участник опоздал к началу теоретического тура, то он допускается к участию (выполнению заданий), при этом время окончания выполнения заданий теоретического тура данным участником будет совпадать с временем окончания выполнения заданий установленном для всех участников, находящихся в данной аудитории;</w:t>
      </w:r>
    </w:p>
    <w:p w:rsidR="008C74DA" w:rsidRPr="0048063C" w:rsidRDefault="008C74DA" w:rsidP="00FE6C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все исправления, сделанные участником в бланке ответов, должны быть заверены подписью дежурного (не заверенные подписью дежурного исправления при проверке работы не учитываются);</w:t>
      </w:r>
    </w:p>
    <w:p w:rsidR="008C74DA" w:rsidRPr="0048063C" w:rsidRDefault="008C74DA" w:rsidP="00FE6C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во время проведения олимпиады участники должны соблюдать Требования к проведению соответствующего этапа олимпиады, действующий Порядок и следовать указаниям представителей организатора олимпиады.</w:t>
      </w:r>
    </w:p>
    <w:p w:rsidR="008C74DA" w:rsidRPr="0048063C" w:rsidRDefault="008C74DA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В ходе работы над заданиями на вопросы участников имеют право отвечать только члены жюри.</w:t>
      </w:r>
    </w:p>
    <w:p w:rsidR="008C74DA" w:rsidRPr="0048063C" w:rsidRDefault="008C74DA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b/>
          <w:sz w:val="24"/>
          <w:szCs w:val="24"/>
          <w:u w:val="single"/>
        </w:rPr>
        <w:t>Практический тур</w:t>
      </w:r>
      <w:r w:rsidRPr="0048063C">
        <w:rPr>
          <w:rFonts w:ascii="Times New Roman" w:hAnsi="Times New Roman" w:cs="Times New Roman"/>
          <w:sz w:val="24"/>
          <w:szCs w:val="24"/>
        </w:rPr>
        <w:t xml:space="preserve"> проводится на местности или в соответствующих помещениях, предварительно выбранных представителями оргкомитета и жюри</w:t>
      </w:r>
      <w:bookmarkStart w:id="3" w:name="_GoBack"/>
      <w:bookmarkEnd w:id="3"/>
      <w:r w:rsidRPr="0048063C">
        <w:rPr>
          <w:rFonts w:ascii="Times New Roman" w:hAnsi="Times New Roman" w:cs="Times New Roman"/>
          <w:sz w:val="24"/>
          <w:szCs w:val="24"/>
        </w:rPr>
        <w:t xml:space="preserve">. Задача данного тура – выявить у участников умения и навыки эффективных действий и безопасного поведения в опасных и чрезвычайных ситуациях. Оценка выполнения заданий практического тура осуществляется членами жюри отдельно по каждому заданию. В случае разногласий по вопросам оценок вопрос об окончательном определении баллов, выставляемых за выполнение практических заданий, определяется председателем (заместителем председателя) жюри. Проведению практического тура предшествуют показ мест выполнения практических заданий с разъяснением правил и </w:t>
      </w:r>
      <w:r w:rsidRPr="0048063C">
        <w:rPr>
          <w:rFonts w:ascii="Times New Roman" w:hAnsi="Times New Roman" w:cs="Times New Roman"/>
          <w:sz w:val="24"/>
          <w:szCs w:val="24"/>
        </w:rPr>
        <w:lastRenderedPageBreak/>
        <w:t>порядка выполнения практических заданий участникам, а также инструктаж и консультация для членов жюри.</w:t>
      </w:r>
    </w:p>
    <w:p w:rsidR="008C74DA" w:rsidRPr="0048063C" w:rsidRDefault="008C74DA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В период проведения практического тура представителями оргкомитета обеспечивается безопасность участников и их медицинское обслуживание (в случае необходимости). За несоблюдение требований жюри по обеспечению безопасности при выполнении практических заданий участники могут быть удалены с места проведения практического тура с составлением протокола о нарушении участником требований безопасности. Участникам, удалённым с места проведения практического тура за несоблюдение требований по обеспечению безопасности, по решению жюри может быть выставлена оценка 0 баллов за участие в данном туре с оформлением протокола об удалении участника олимпиады с практического тура. Перед началом практического тура участники проходят регистрацию, представитель шифровальной комиссии вписывает код участника на титульный лист приложения к заданиям (технологической карты). В технологическую карту включается необходимая информация по оцениванию выполненных участником заданий. При проведении практического тура для всех участников устанавливаются следующие общие правила:</w:t>
      </w:r>
    </w:p>
    <w:p w:rsidR="008C74DA" w:rsidRPr="0048063C" w:rsidRDefault="008C74DA" w:rsidP="00FE6CA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все участники должны быть в спортивной форме, закрывающей локти и колени, в спортивной обуви без металлических шипов;</w:t>
      </w:r>
    </w:p>
    <w:p w:rsidR="008C74DA" w:rsidRPr="0048063C" w:rsidRDefault="008C74DA" w:rsidP="00FE6CA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 xml:space="preserve">иметь при себе личное (индивидуальное) снаряжение, если таковое предусмотрено; </w:t>
      </w:r>
    </w:p>
    <w:p w:rsidR="008C74DA" w:rsidRPr="0048063C" w:rsidRDefault="008C74DA" w:rsidP="00FE6CA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 xml:space="preserve">при регистрации перед началом практического тура участник должен предъявить паспорт или другое удостоверение личности дежурному и убедиться в правильности внесения кода (шифра) участника на титульный лист технологической карты; </w:t>
      </w:r>
    </w:p>
    <w:p w:rsidR="008C74DA" w:rsidRPr="0048063C" w:rsidRDefault="008C74DA" w:rsidP="00FE6CA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все участники практического тура должны иметь медицинское заключение о допуске к участию в физкультурных и спортивных мероприятиях, спортивную одежду и обувь в соответствии с погодными условиями (в случае проведения практического тура на местности);</w:t>
      </w:r>
    </w:p>
    <w:p w:rsidR="008C74DA" w:rsidRPr="0048063C" w:rsidRDefault="008C74DA" w:rsidP="00FE6CA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прибыв к месту выполнения заданий, участник объявляет о своей готовности и по команде члена жюри приступает к выполнению заданий в соответствии с условиями проведения практического тура;</w:t>
      </w:r>
    </w:p>
    <w:p w:rsidR="008C74DA" w:rsidRPr="0048063C" w:rsidRDefault="008C74DA" w:rsidP="00FE6CA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при выполнении заданий участник в местах выполнения практических заданий информируется членом жюри о результатах выполнения каждого задания;</w:t>
      </w:r>
    </w:p>
    <w:p w:rsidR="008C74DA" w:rsidRPr="0048063C" w:rsidRDefault="008C74DA" w:rsidP="00FE6CA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по окончании выполнения заданий участнику сообщается информация об общем количестве штрафных баллов и общем количестве набранных им баллов.</w:t>
      </w:r>
    </w:p>
    <w:p w:rsidR="008C74DA" w:rsidRPr="0048063C" w:rsidRDefault="008C74DA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Во время выполнения заданий практического тура участникам запрещается пользоваться справочниками, персональными компьютерами, мобильными телефонами и</w:t>
      </w:r>
      <w:r w:rsidRPr="0048063C">
        <w:rPr>
          <w:rFonts w:ascii="Times New Roman" w:hAnsi="Times New Roman" w:cs="Times New Roman"/>
          <w:sz w:val="24"/>
          <w:szCs w:val="24"/>
        </w:rPr>
        <w:t xml:space="preserve"> </w:t>
      </w:r>
      <w:r w:rsidRPr="0048063C">
        <w:rPr>
          <w:rFonts w:ascii="Times New Roman" w:hAnsi="Times New Roman" w:cs="Times New Roman"/>
          <w:sz w:val="24"/>
          <w:szCs w:val="24"/>
        </w:rPr>
        <w:t>иными приборами, и средствами хранения и передачи информации, за исключением предоставляемых членами жюри для выполнения заданий. Не допускается умышленное:</w:t>
      </w:r>
    </w:p>
    <w:p w:rsidR="008C74DA" w:rsidRPr="0048063C" w:rsidRDefault="008C74DA" w:rsidP="00FE6CA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повреждение используемого при проведении олимпиады оборудования;</w:t>
      </w:r>
    </w:p>
    <w:p w:rsidR="008C74DA" w:rsidRPr="0048063C" w:rsidRDefault="008C74DA" w:rsidP="00FE6CA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создание условий, препятствующих работе жюри;</w:t>
      </w:r>
    </w:p>
    <w:p w:rsidR="008C74DA" w:rsidRPr="0048063C" w:rsidRDefault="008C74DA" w:rsidP="00FE6CA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создание условий препятствующих выполнению заданий другими участниками;</w:t>
      </w:r>
    </w:p>
    <w:p w:rsidR="008C74DA" w:rsidRPr="0048063C" w:rsidRDefault="008C74DA" w:rsidP="00FE6CA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повреждение технологической карты, ознакомление с содержанием технологической карты до окончания выполнения заданий участником (если иное не предусмотрено), внесение (исправление) участником оценок за выполнение заданий в технологическую карту, а также другие попытки фальсификации результатов выполнения заданий.</w:t>
      </w:r>
    </w:p>
    <w:p w:rsidR="001E5661" w:rsidRPr="0048063C" w:rsidRDefault="006F04DF" w:rsidP="0048063C">
      <w:pPr>
        <w:pStyle w:val="1"/>
      </w:pPr>
      <w:bookmarkStart w:id="4" w:name="_Toc145669247"/>
      <w:r w:rsidRPr="0048063C">
        <w:t>2</w:t>
      </w:r>
      <w:r w:rsidR="006A6A37" w:rsidRPr="0048063C">
        <w:t>. Необходимое материально-техническое обеспечение для выполнения олимпиадных заданий школьного этапа олимпиады</w:t>
      </w:r>
      <w:bookmarkEnd w:id="4"/>
    </w:p>
    <w:p w:rsidR="001E5661" w:rsidRPr="0048063C" w:rsidRDefault="006A6A37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lastRenderedPageBreak/>
        <w:t xml:space="preserve"> Для проведения всех мероприятий олимпиады необходима соответствующая материальная база, которая включает в себя элементы для проведения двух туров: теоретического и практического.</w:t>
      </w:r>
    </w:p>
    <w:p w:rsidR="006A6A37" w:rsidRPr="0048063C" w:rsidRDefault="006A6A37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b/>
          <w:sz w:val="24"/>
          <w:szCs w:val="24"/>
        </w:rPr>
        <w:t>Теоретический тур.</w:t>
      </w:r>
      <w:r w:rsidRPr="0048063C">
        <w:rPr>
          <w:rFonts w:ascii="Times New Roman" w:hAnsi="Times New Roman" w:cs="Times New Roman"/>
          <w:sz w:val="24"/>
          <w:szCs w:val="24"/>
        </w:rPr>
        <w:t xml:space="preserve"> Каждому участнику, при необходимости, должны быть предоставлены предусмотренные для выполнения заданий оборудование, измерительные приборы и чертёжные принадлежности. Желательно обеспечить участников ручками с чернилами установленного организатором цвета.</w:t>
      </w:r>
    </w:p>
    <w:p w:rsidR="006A6A37" w:rsidRPr="0048063C" w:rsidRDefault="006A6A37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b/>
          <w:sz w:val="24"/>
          <w:szCs w:val="24"/>
        </w:rPr>
        <w:t>Практический тур.</w:t>
      </w:r>
      <w:r w:rsidRPr="0048063C">
        <w:rPr>
          <w:rFonts w:ascii="Times New Roman" w:hAnsi="Times New Roman" w:cs="Times New Roman"/>
          <w:sz w:val="24"/>
          <w:szCs w:val="24"/>
        </w:rPr>
        <w:t xml:space="preserve"> Для проведения практического тура ЦПМК рекомендует предусмотреть необходимое оборудование (Таблица 1).</w:t>
      </w:r>
    </w:p>
    <w:p w:rsidR="006A6A37" w:rsidRPr="0048063C" w:rsidRDefault="006A6A37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63C">
        <w:rPr>
          <w:rFonts w:ascii="Times New Roman" w:hAnsi="Times New Roman" w:cs="Times New Roman"/>
          <w:b/>
          <w:sz w:val="24"/>
          <w:szCs w:val="24"/>
        </w:rPr>
        <w:t>Таблица 1. – Перечень необходимого оборудования для проведения практического тура школьного этапа олимпиады по ОБЖ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170"/>
      </w:tblGrid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170" w:type="dxa"/>
            <w:vAlign w:val="center"/>
          </w:tcPr>
          <w:p w:rsidR="001E5661" w:rsidRPr="0048063C" w:rsidRDefault="001E5661" w:rsidP="00FE6CA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оборудования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Веревка Ø 10-11 мм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Веревка Ø 6 мм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 xml:space="preserve">Винтовки пневматические калибра не более 4,5 мм с дульной энергией более 3 </w:t>
            </w:r>
            <w:proofErr w:type="gramStart"/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End"/>
            <w:r w:rsidRPr="0048063C">
              <w:rPr>
                <w:rFonts w:ascii="Times New Roman" w:hAnsi="Times New Roman" w:cs="Times New Roman"/>
                <w:sz w:val="24"/>
                <w:szCs w:val="24"/>
              </w:rPr>
              <w:t xml:space="preserve"> но не более 7,5 Дж или винтовки пневматические калибра не более 4,5 мм с дульной энергией до 3 Дж*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 xml:space="preserve">Тир или помещение, специально приспособленное для спортивной стрельбы (при использовании винтовок с дульной энергией более 3, но не более 7,5 Дж) или </w:t>
            </w:r>
            <w:proofErr w:type="spellStart"/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пулеулавливатель</w:t>
            </w:r>
            <w:proofErr w:type="spellEnd"/>
            <w:r w:rsidRPr="0048063C">
              <w:rPr>
                <w:rFonts w:ascii="Times New Roman" w:hAnsi="Times New Roman" w:cs="Times New Roman"/>
                <w:sz w:val="24"/>
                <w:szCs w:val="24"/>
              </w:rPr>
              <w:t xml:space="preserve"> (при использовании винтовок с дульной энергией до 3 </w:t>
            </w:r>
            <w:proofErr w:type="gramStart"/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Дж)*</w:t>
            </w:r>
            <w:proofErr w:type="gramEnd"/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Пули к пневматической винтовке (4,5 мм)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Мишень № 8 (для стрельбы из пневматической винтовки с расстояния 10 м)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Модели массогабаритные стрелкового оружия (АКМ, АК-74, РПК, СВД, СКС, ПМ)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Противогазы гражданские ГП-7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Костюмы защитные (ОЗК, Л-1) 10. Мат гимнастический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Мячи теннисные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Таблички информационные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Стойки для обозначения мест выполнения заданий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FE6CA4" w:rsidRPr="0048063C" w:rsidRDefault="00FE6CA4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Компас магнитный спортивный с ценой делений 2 градуса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 xml:space="preserve"> Линейка (длина 40-50 см, цена деления 1 мм) 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Транспортир полукруговой (цена деления 1 град)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Бинт широкий 14 см×7 м</w:t>
            </w:r>
          </w:p>
        </w:tc>
      </w:tr>
      <w:tr w:rsidR="001E5661" w:rsidRPr="0048063C" w:rsidTr="001E5661">
        <w:trPr>
          <w:jc w:val="center"/>
        </w:trPr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Флажки сигнальные</w:t>
            </w:r>
          </w:p>
        </w:tc>
      </w:tr>
      <w:tr w:rsidR="001E5661" w:rsidRPr="0048063C" w:rsidTr="001E5661">
        <w:tblPrEx>
          <w:jc w:val="left"/>
        </w:tblPrEx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Секундомер электронный</w:t>
            </w:r>
          </w:p>
        </w:tc>
      </w:tr>
      <w:tr w:rsidR="001E5661" w:rsidRPr="0048063C" w:rsidTr="001E5661">
        <w:tblPrEx>
          <w:jc w:val="left"/>
        </w:tblPrEx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Карандаш простой</w:t>
            </w:r>
          </w:p>
        </w:tc>
      </w:tr>
      <w:tr w:rsidR="001E5661" w:rsidRPr="0048063C" w:rsidTr="001E5661">
        <w:tblPrEx>
          <w:jc w:val="left"/>
        </w:tblPrEx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Ручка шариковая чёрного цвета</w:t>
            </w:r>
          </w:p>
        </w:tc>
      </w:tr>
      <w:tr w:rsidR="001E5661" w:rsidRPr="0048063C" w:rsidTr="001E5661">
        <w:tblPrEx>
          <w:jc w:val="left"/>
        </w:tblPrEx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Блок для записей</w:t>
            </w:r>
          </w:p>
        </w:tc>
      </w:tr>
      <w:tr w:rsidR="001E5661" w:rsidRPr="0048063C" w:rsidTr="001E5661">
        <w:tblPrEx>
          <w:jc w:val="left"/>
        </w:tblPrEx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Липкая лента (скотч широкий)</w:t>
            </w:r>
          </w:p>
        </w:tc>
      </w:tr>
      <w:tr w:rsidR="001E5661" w:rsidRPr="0048063C" w:rsidTr="001E5661">
        <w:tblPrEx>
          <w:jc w:val="left"/>
        </w:tblPrEx>
        <w:tc>
          <w:tcPr>
            <w:tcW w:w="846" w:type="dxa"/>
            <w:vAlign w:val="center"/>
          </w:tcPr>
          <w:p w:rsidR="001E5661" w:rsidRPr="0048063C" w:rsidRDefault="001E5661" w:rsidP="00FE6CA4">
            <w:pPr>
              <w:pStyle w:val="a3"/>
              <w:numPr>
                <w:ilvl w:val="0"/>
                <w:numId w:val="9"/>
              </w:numPr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</w:tcPr>
          <w:p w:rsidR="001E5661" w:rsidRPr="0048063C" w:rsidRDefault="001E5661" w:rsidP="00FE6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63C">
              <w:rPr>
                <w:rFonts w:ascii="Times New Roman" w:hAnsi="Times New Roman" w:cs="Times New Roman"/>
                <w:sz w:val="24"/>
                <w:szCs w:val="24"/>
              </w:rPr>
              <w:t>Швейные хлопчатобумажные нитки (торговый номер 40-60)</w:t>
            </w:r>
          </w:p>
        </w:tc>
      </w:tr>
    </w:tbl>
    <w:p w:rsidR="001E5661" w:rsidRPr="0048063C" w:rsidRDefault="001E5661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063C">
        <w:rPr>
          <w:rFonts w:ascii="Times New Roman" w:hAnsi="Times New Roman" w:cs="Times New Roman"/>
          <w:i/>
          <w:sz w:val="24"/>
          <w:szCs w:val="24"/>
        </w:rPr>
        <w:t xml:space="preserve">* В соответствии с Федеральным законом от 13.12.1996 № 150-ФЗ «Об оружии» пневматические винтовки калибра не более 4,5 мм с дульной энергией до 3 Дж не являются оружием, а именуются «конструктивно сходными с оружием изделиями» и на их применение не распространяется действие Приказ Министерства спорта РФ от 22 ноября 2018 г. № 955 «Об утверждении требований к помещениям и участкам местности, специально приспособленным для спортивной стрельбы». При проведении </w:t>
      </w:r>
      <w:r w:rsidRPr="0048063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олимпиады допускается замена пневматических винтовок лазерными (электронными) тирами в этом случае установка </w:t>
      </w:r>
      <w:proofErr w:type="spellStart"/>
      <w:r w:rsidRPr="0048063C">
        <w:rPr>
          <w:rFonts w:ascii="Times New Roman" w:hAnsi="Times New Roman" w:cs="Times New Roman"/>
          <w:i/>
          <w:sz w:val="24"/>
          <w:szCs w:val="24"/>
        </w:rPr>
        <w:t>пулеулавливателей</w:t>
      </w:r>
      <w:proofErr w:type="spellEnd"/>
      <w:r w:rsidRPr="0048063C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48063C">
        <w:rPr>
          <w:rFonts w:ascii="Times New Roman" w:hAnsi="Times New Roman" w:cs="Times New Roman"/>
          <w:i/>
          <w:sz w:val="24"/>
          <w:szCs w:val="24"/>
        </w:rPr>
        <w:t>антирикошетного</w:t>
      </w:r>
      <w:proofErr w:type="spellEnd"/>
      <w:r w:rsidRPr="0048063C">
        <w:rPr>
          <w:rFonts w:ascii="Times New Roman" w:hAnsi="Times New Roman" w:cs="Times New Roman"/>
          <w:i/>
          <w:sz w:val="24"/>
          <w:szCs w:val="24"/>
        </w:rPr>
        <w:t xml:space="preserve"> покрытия не требуется.</w:t>
      </w:r>
    </w:p>
    <w:p w:rsidR="001E5661" w:rsidRPr="0048063C" w:rsidRDefault="001E5661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Перечень является примерным без учёта содержания заданий и места проведения.</w:t>
      </w:r>
    </w:p>
    <w:p w:rsidR="001E5661" w:rsidRPr="0048063C" w:rsidRDefault="006F04DF" w:rsidP="0048063C">
      <w:pPr>
        <w:pStyle w:val="1"/>
      </w:pPr>
      <w:bookmarkStart w:id="5" w:name="_Toc145669248"/>
      <w:r w:rsidRPr="0048063C">
        <w:t>3</w:t>
      </w:r>
      <w:r w:rsidR="001E5661" w:rsidRPr="0048063C">
        <w:t>. 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  <w:bookmarkEnd w:id="5"/>
    </w:p>
    <w:p w:rsidR="001E5661" w:rsidRPr="0048063C" w:rsidRDefault="001E5661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При выполнении заданий теоретического и практического туров олимпиады допускается использование только справочных материалов, средств связи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калькуляторами справочными материалами, средствами связи и электронно-вычислительной техникой.</w:t>
      </w:r>
    </w:p>
    <w:p w:rsidR="001E5661" w:rsidRPr="0048063C" w:rsidRDefault="006F04DF" w:rsidP="0048063C">
      <w:pPr>
        <w:pStyle w:val="1"/>
      </w:pPr>
      <w:bookmarkStart w:id="6" w:name="_Toc145669249"/>
      <w:r w:rsidRPr="0048063C">
        <w:t>4</w:t>
      </w:r>
      <w:r w:rsidR="001E5661" w:rsidRPr="0048063C">
        <w:t>. Критерии и методика оценивания выполненных олимпиадных заданий</w:t>
      </w:r>
      <w:bookmarkEnd w:id="6"/>
    </w:p>
    <w:p w:rsidR="001E5661" w:rsidRPr="0048063C" w:rsidRDefault="001E5661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Система и методика оценивания олимпиадных заданий должна позволять объективно выявить реальный уровень подготовки участников олимпиады.</w:t>
      </w:r>
    </w:p>
    <w:p w:rsidR="001E5661" w:rsidRPr="0048063C" w:rsidRDefault="001E5661" w:rsidP="00FE6CA4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С учетом этого, при разработке методики оценивания олимпиадных заданий предметно-методическим комиссиям рекомендуется:</w:t>
      </w:r>
    </w:p>
    <w:p w:rsidR="001E5661" w:rsidRPr="0048063C" w:rsidRDefault="001E5661" w:rsidP="00FE6CA4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по всем теоретическим заданиям начисление баллов производить целыми, а не дробными числами (использование дробных чисел рационально при наличии контрольного времени для выполнения практических заданий);</w:t>
      </w:r>
    </w:p>
    <w:p w:rsidR="001E5661" w:rsidRPr="0048063C" w:rsidRDefault="001E5661" w:rsidP="00FE6CA4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размер максимальных баллов за задания установить в зависимости от уровня сложности задания, за задания одного уровня сложности начислять одинаковый максимальный балл;</w:t>
      </w:r>
    </w:p>
    <w:p w:rsidR="001E5661" w:rsidRPr="0048063C" w:rsidRDefault="001E5661" w:rsidP="00FE6CA4">
      <w:pPr>
        <w:pStyle w:val="a3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общий результат по итогам как теоретического, так и практического туров оценивать путем сложения баллов, полученных участниками за каждое теоретическое или практическое задание.</w:t>
      </w:r>
    </w:p>
    <w:p w:rsidR="00F7218A" w:rsidRPr="0048063C" w:rsidRDefault="001E5661" w:rsidP="00FE6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задания, – 0 баллов. 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 с последующим приведением к 100-балльной системе (максимальная оценка по итогам выполнения заданий 100 баллов, например, теоретический тур не более 150 баллов, практический тур не более 150 баллов, тогда (150 + 150) ÷ 3 = 100). Результат вычисления округляется до сотых, </w:t>
      </w:r>
      <w:proofErr w:type="gramStart"/>
      <w:r w:rsidRPr="0048063C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48063C">
        <w:rPr>
          <w:rFonts w:ascii="Times New Roman" w:hAnsi="Times New Roman" w:cs="Times New Roman"/>
          <w:sz w:val="24"/>
          <w:szCs w:val="24"/>
        </w:rPr>
        <w:t>:</w:t>
      </w:r>
    </w:p>
    <w:p w:rsidR="00F7218A" w:rsidRPr="0048063C" w:rsidRDefault="001E5661" w:rsidP="00FE6CA4">
      <w:pPr>
        <w:pStyle w:val="a3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максимальная сумма баллов за выполнение заданий как теоретического, так и практического тура – 150;</w:t>
      </w:r>
    </w:p>
    <w:p w:rsidR="00FE6CA4" w:rsidRPr="0048063C" w:rsidRDefault="001E5661" w:rsidP="00FE6CA4">
      <w:pPr>
        <w:pStyle w:val="a3"/>
        <w:numPr>
          <w:ilvl w:val="0"/>
          <w:numId w:val="8"/>
        </w:numPr>
        <w:spacing w:before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 xml:space="preserve">участник выполнил задания теоретического тура на 122 балла; </w:t>
      </w:r>
    </w:p>
    <w:p w:rsidR="00FE6CA4" w:rsidRPr="0048063C" w:rsidRDefault="001E5661" w:rsidP="00FE6CA4">
      <w:pPr>
        <w:pStyle w:val="a3"/>
        <w:numPr>
          <w:ilvl w:val="0"/>
          <w:numId w:val="8"/>
        </w:numPr>
        <w:spacing w:before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участник выполнил задания практического тура на 143 балла;</w:t>
      </w:r>
    </w:p>
    <w:p w:rsidR="001E5661" w:rsidRPr="0048063C" w:rsidRDefault="001E5661" w:rsidP="00FE6CA4">
      <w:pPr>
        <w:pStyle w:val="a3"/>
        <w:numPr>
          <w:ilvl w:val="0"/>
          <w:numId w:val="8"/>
        </w:numPr>
        <w:spacing w:before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63C">
        <w:rPr>
          <w:rFonts w:ascii="Times New Roman" w:hAnsi="Times New Roman" w:cs="Times New Roman"/>
          <w:sz w:val="24"/>
          <w:szCs w:val="24"/>
        </w:rPr>
        <w:t>получаем 100 ÷ (150 + 150) × (122 + 143) = 100 ÷ 300 × 265 = 88,3333..., т.е. округлённо 88,33.</w:t>
      </w:r>
    </w:p>
    <w:p w:rsidR="0048063C" w:rsidRDefault="0048063C" w:rsidP="0048063C">
      <w:pPr>
        <w:pStyle w:val="1"/>
      </w:pPr>
      <w:bookmarkStart w:id="7" w:name="_Toc113866731"/>
      <w:bookmarkStart w:id="8" w:name="_Toc145669250"/>
      <w:r>
        <w:t>5. Приложение</w:t>
      </w:r>
      <w:bookmarkEnd w:id="7"/>
      <w:bookmarkEnd w:id="8"/>
      <w:r>
        <w:t xml:space="preserve"> </w:t>
      </w:r>
    </w:p>
    <w:p w:rsidR="0048063C" w:rsidRPr="0091339E" w:rsidRDefault="0048063C" w:rsidP="0048063C">
      <w:pPr>
        <w:jc w:val="right"/>
        <w:rPr>
          <w:rFonts w:ascii="Times New Roman" w:hAnsi="Times New Roman" w:cs="Times New Roman"/>
          <w:b/>
          <w:i/>
          <w:sz w:val="24"/>
        </w:rPr>
      </w:pPr>
      <w:r w:rsidRPr="0091339E">
        <w:rPr>
          <w:rFonts w:ascii="Times New Roman" w:hAnsi="Times New Roman" w:cs="Times New Roman"/>
          <w:b/>
          <w:i/>
          <w:sz w:val="24"/>
        </w:rPr>
        <w:t>Бланк кодировки участника</w:t>
      </w:r>
    </w:p>
    <w:p w:rsidR="0048063C" w:rsidRPr="0091339E" w:rsidRDefault="0048063C" w:rsidP="0048063C">
      <w:pPr>
        <w:pStyle w:val="Default"/>
        <w:jc w:val="center"/>
        <w:rPr>
          <w:szCs w:val="23"/>
        </w:rPr>
      </w:pPr>
      <w:r w:rsidRPr="0091339E">
        <w:rPr>
          <w:bCs/>
          <w:szCs w:val="23"/>
        </w:rPr>
        <w:lastRenderedPageBreak/>
        <w:t>ШКОЛЬНЫЙ</w:t>
      </w:r>
      <w:r w:rsidRPr="0091339E">
        <w:rPr>
          <w:b/>
          <w:bCs/>
          <w:szCs w:val="23"/>
        </w:rPr>
        <w:t xml:space="preserve"> </w:t>
      </w:r>
      <w:r w:rsidRPr="0091339E">
        <w:rPr>
          <w:szCs w:val="23"/>
        </w:rPr>
        <w:t>ЭТАП ВСЕРОССИЙСКОЙ ОЛИМПИАДЫ ШКОЛЬНИКОВ 2022/2023 УЧЕБНОГО ГОДА ПО ОСНОВАМ БЕЗОПАСНОСТИ ЖИЗНЕДЕЯТЕЛЬНОСТИ</w:t>
      </w:r>
    </w:p>
    <w:p w:rsidR="0048063C" w:rsidRPr="0091339E" w:rsidRDefault="0048063C" w:rsidP="0048063C">
      <w:pPr>
        <w:pStyle w:val="Default"/>
        <w:jc w:val="center"/>
        <w:rPr>
          <w:b/>
          <w:bCs/>
          <w:szCs w:val="23"/>
        </w:rPr>
      </w:pPr>
      <w:r w:rsidRPr="0091339E">
        <w:rPr>
          <w:b/>
          <w:bCs/>
          <w:szCs w:val="23"/>
        </w:rPr>
        <w:t>Код/шифр участника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</w:tblGrid>
      <w:tr w:rsidR="0048063C" w:rsidRPr="0091339E" w:rsidTr="00C1755B">
        <w:trPr>
          <w:trHeight w:val="567"/>
          <w:jc w:val="center"/>
        </w:trPr>
        <w:tc>
          <w:tcPr>
            <w:tcW w:w="794" w:type="dxa"/>
          </w:tcPr>
          <w:p w:rsidR="0048063C" w:rsidRPr="0091339E" w:rsidRDefault="0048063C" w:rsidP="00C1755B">
            <w:pPr>
              <w:pStyle w:val="Default"/>
              <w:jc w:val="center"/>
              <w:rPr>
                <w:szCs w:val="23"/>
              </w:rPr>
            </w:pPr>
          </w:p>
        </w:tc>
        <w:tc>
          <w:tcPr>
            <w:tcW w:w="794" w:type="dxa"/>
          </w:tcPr>
          <w:p w:rsidR="0048063C" w:rsidRPr="0091339E" w:rsidRDefault="0048063C" w:rsidP="00C1755B">
            <w:pPr>
              <w:pStyle w:val="Default"/>
              <w:jc w:val="center"/>
              <w:rPr>
                <w:szCs w:val="23"/>
              </w:rPr>
            </w:pPr>
          </w:p>
        </w:tc>
        <w:tc>
          <w:tcPr>
            <w:tcW w:w="794" w:type="dxa"/>
          </w:tcPr>
          <w:p w:rsidR="0048063C" w:rsidRPr="0091339E" w:rsidRDefault="0048063C" w:rsidP="00C1755B">
            <w:pPr>
              <w:pStyle w:val="Default"/>
              <w:jc w:val="center"/>
              <w:rPr>
                <w:szCs w:val="23"/>
              </w:rPr>
            </w:pPr>
          </w:p>
        </w:tc>
        <w:tc>
          <w:tcPr>
            <w:tcW w:w="794" w:type="dxa"/>
          </w:tcPr>
          <w:p w:rsidR="0048063C" w:rsidRPr="0091339E" w:rsidRDefault="0048063C" w:rsidP="00C1755B">
            <w:pPr>
              <w:pStyle w:val="Default"/>
              <w:jc w:val="center"/>
              <w:rPr>
                <w:szCs w:val="23"/>
              </w:rPr>
            </w:pPr>
          </w:p>
        </w:tc>
        <w:tc>
          <w:tcPr>
            <w:tcW w:w="794" w:type="dxa"/>
          </w:tcPr>
          <w:p w:rsidR="0048063C" w:rsidRPr="0091339E" w:rsidRDefault="0048063C" w:rsidP="00C1755B">
            <w:pPr>
              <w:pStyle w:val="Default"/>
              <w:jc w:val="center"/>
              <w:rPr>
                <w:szCs w:val="23"/>
              </w:rPr>
            </w:pPr>
          </w:p>
        </w:tc>
        <w:tc>
          <w:tcPr>
            <w:tcW w:w="794" w:type="dxa"/>
          </w:tcPr>
          <w:p w:rsidR="0048063C" w:rsidRPr="0091339E" w:rsidRDefault="0048063C" w:rsidP="00C1755B">
            <w:pPr>
              <w:pStyle w:val="Default"/>
              <w:jc w:val="center"/>
              <w:rPr>
                <w:szCs w:val="23"/>
              </w:rPr>
            </w:pPr>
          </w:p>
        </w:tc>
        <w:tc>
          <w:tcPr>
            <w:tcW w:w="794" w:type="dxa"/>
          </w:tcPr>
          <w:p w:rsidR="0048063C" w:rsidRPr="0091339E" w:rsidRDefault="0048063C" w:rsidP="00C1755B">
            <w:pPr>
              <w:pStyle w:val="Default"/>
              <w:jc w:val="center"/>
              <w:rPr>
                <w:szCs w:val="23"/>
              </w:rPr>
            </w:pPr>
          </w:p>
        </w:tc>
      </w:tr>
    </w:tbl>
    <w:p w:rsidR="0048063C" w:rsidRPr="0091339E" w:rsidRDefault="0048063C" w:rsidP="0048063C">
      <w:pPr>
        <w:pStyle w:val="Default"/>
        <w:jc w:val="center"/>
        <w:rPr>
          <w:szCs w:val="23"/>
        </w:rPr>
      </w:pPr>
      <w:r w:rsidRPr="0091339E">
        <w:rPr>
          <w:szCs w:val="23"/>
        </w:rPr>
        <w:t>_________________________________________________________</w:t>
      </w:r>
    </w:p>
    <w:p w:rsidR="0048063C" w:rsidRPr="0091339E" w:rsidRDefault="0048063C" w:rsidP="0048063C">
      <w:pPr>
        <w:pStyle w:val="Default"/>
        <w:jc w:val="center"/>
        <w:rPr>
          <w:szCs w:val="23"/>
        </w:rPr>
      </w:pPr>
      <w:r w:rsidRPr="0091339E">
        <w:rPr>
          <w:szCs w:val="23"/>
        </w:rPr>
        <w:t>_________________________________________________________</w:t>
      </w:r>
    </w:p>
    <w:p w:rsidR="0048063C" w:rsidRPr="0091339E" w:rsidRDefault="0048063C" w:rsidP="0048063C">
      <w:pPr>
        <w:pStyle w:val="Default"/>
        <w:jc w:val="center"/>
        <w:rPr>
          <w:szCs w:val="23"/>
          <w:vertAlign w:val="superscript"/>
        </w:rPr>
      </w:pPr>
      <w:r w:rsidRPr="0091339E">
        <w:rPr>
          <w:szCs w:val="23"/>
          <w:vertAlign w:val="superscript"/>
        </w:rPr>
        <w:t>(фамилия, имя, отчество)</w:t>
      </w:r>
    </w:p>
    <w:p w:rsidR="0048063C" w:rsidRPr="0091339E" w:rsidRDefault="0048063C" w:rsidP="0048063C">
      <w:pPr>
        <w:pStyle w:val="Default"/>
        <w:jc w:val="center"/>
        <w:rPr>
          <w:szCs w:val="23"/>
        </w:rPr>
      </w:pPr>
      <w:r w:rsidRPr="0091339E">
        <w:rPr>
          <w:szCs w:val="23"/>
        </w:rPr>
        <w:t>_________________________________________________________</w:t>
      </w:r>
    </w:p>
    <w:p w:rsidR="0048063C" w:rsidRPr="0091339E" w:rsidRDefault="0048063C" w:rsidP="0048063C">
      <w:pPr>
        <w:pStyle w:val="Default"/>
        <w:jc w:val="center"/>
        <w:rPr>
          <w:szCs w:val="23"/>
          <w:vertAlign w:val="superscript"/>
        </w:rPr>
      </w:pPr>
      <w:r w:rsidRPr="0091339E">
        <w:rPr>
          <w:szCs w:val="23"/>
          <w:vertAlign w:val="superscript"/>
        </w:rPr>
        <w:t>(класс)</w:t>
      </w:r>
    </w:p>
    <w:p w:rsidR="0048063C" w:rsidRPr="0091339E" w:rsidRDefault="0048063C" w:rsidP="0048063C">
      <w:pPr>
        <w:pStyle w:val="Default"/>
        <w:jc w:val="center"/>
        <w:rPr>
          <w:szCs w:val="23"/>
        </w:rPr>
      </w:pPr>
      <w:r w:rsidRPr="0091339E">
        <w:rPr>
          <w:szCs w:val="23"/>
        </w:rPr>
        <w:t>_________________________________________________________</w:t>
      </w:r>
    </w:p>
    <w:p w:rsidR="0048063C" w:rsidRPr="0091339E" w:rsidRDefault="0048063C" w:rsidP="0048063C">
      <w:pPr>
        <w:pStyle w:val="Default"/>
        <w:jc w:val="center"/>
        <w:rPr>
          <w:szCs w:val="23"/>
        </w:rPr>
      </w:pPr>
      <w:r w:rsidRPr="0091339E">
        <w:rPr>
          <w:szCs w:val="23"/>
        </w:rPr>
        <w:t>_________________________________________________________</w:t>
      </w:r>
    </w:p>
    <w:p w:rsidR="0048063C" w:rsidRPr="0091339E" w:rsidRDefault="0048063C" w:rsidP="0048063C">
      <w:pPr>
        <w:pStyle w:val="Default"/>
        <w:jc w:val="center"/>
        <w:rPr>
          <w:szCs w:val="23"/>
        </w:rPr>
      </w:pPr>
      <w:r w:rsidRPr="0091339E">
        <w:rPr>
          <w:szCs w:val="23"/>
        </w:rPr>
        <w:t>_________________________________________________________</w:t>
      </w:r>
    </w:p>
    <w:p w:rsidR="0048063C" w:rsidRPr="0091339E" w:rsidRDefault="0048063C" w:rsidP="0048063C">
      <w:pPr>
        <w:pStyle w:val="Default"/>
        <w:jc w:val="center"/>
        <w:rPr>
          <w:szCs w:val="23"/>
        </w:rPr>
      </w:pPr>
      <w:r w:rsidRPr="0091339E">
        <w:rPr>
          <w:szCs w:val="23"/>
        </w:rPr>
        <w:t>_________________________________________________________</w:t>
      </w:r>
    </w:p>
    <w:p w:rsidR="0048063C" w:rsidRPr="0091339E" w:rsidRDefault="0048063C" w:rsidP="0048063C">
      <w:pPr>
        <w:jc w:val="center"/>
        <w:rPr>
          <w:rFonts w:ascii="Times New Roman" w:hAnsi="Times New Roman" w:cs="Times New Roman"/>
          <w:sz w:val="24"/>
          <w:szCs w:val="23"/>
          <w:vertAlign w:val="superscript"/>
        </w:rPr>
      </w:pPr>
      <w:r w:rsidRPr="0091339E">
        <w:rPr>
          <w:rFonts w:ascii="Times New Roman" w:hAnsi="Times New Roman" w:cs="Times New Roman"/>
          <w:sz w:val="24"/>
          <w:szCs w:val="23"/>
          <w:vertAlign w:val="superscript"/>
        </w:rPr>
        <w:t>(полное наименование образовательной организации)</w:t>
      </w:r>
    </w:p>
    <w:p w:rsidR="0048063C" w:rsidRPr="0091339E" w:rsidRDefault="0048063C" w:rsidP="0048063C">
      <w:pPr>
        <w:jc w:val="both"/>
        <w:rPr>
          <w:rFonts w:ascii="Times New Roman" w:hAnsi="Times New Roman" w:cs="Times New Roman"/>
          <w:sz w:val="24"/>
        </w:rPr>
      </w:pPr>
    </w:p>
    <w:p w:rsidR="001E5661" w:rsidRDefault="001E5661" w:rsidP="001E5661">
      <w:pPr>
        <w:spacing w:before="120"/>
        <w:jc w:val="both"/>
        <w:rPr>
          <w:rFonts w:ascii="Times New Roman" w:hAnsi="Times New Roman" w:cs="Times New Roman"/>
        </w:rPr>
      </w:pPr>
    </w:p>
    <w:p w:rsidR="001E5661" w:rsidRDefault="001E5661" w:rsidP="001E5661">
      <w:pPr>
        <w:spacing w:before="120"/>
        <w:jc w:val="both"/>
        <w:rPr>
          <w:rFonts w:ascii="Times New Roman" w:hAnsi="Times New Roman" w:cs="Times New Roman"/>
        </w:rPr>
      </w:pPr>
    </w:p>
    <w:p w:rsidR="001E5661" w:rsidRPr="008C74DA" w:rsidRDefault="001E5661" w:rsidP="001E5661">
      <w:pPr>
        <w:spacing w:before="120"/>
        <w:jc w:val="both"/>
        <w:rPr>
          <w:rFonts w:ascii="Times New Roman" w:hAnsi="Times New Roman" w:cs="Times New Roman"/>
        </w:rPr>
      </w:pPr>
    </w:p>
    <w:sectPr w:rsidR="001E5661" w:rsidRPr="008C74D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146" w:rsidRDefault="00D12146" w:rsidP="0048063C">
      <w:pPr>
        <w:spacing w:after="0" w:line="240" w:lineRule="auto"/>
      </w:pPr>
      <w:r>
        <w:separator/>
      </w:r>
    </w:p>
  </w:endnote>
  <w:endnote w:type="continuationSeparator" w:id="0">
    <w:p w:rsidR="00D12146" w:rsidRDefault="00D12146" w:rsidP="00480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80042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8063C" w:rsidRPr="0048063C" w:rsidRDefault="0048063C">
        <w:pPr>
          <w:pStyle w:val="a9"/>
          <w:jc w:val="center"/>
          <w:rPr>
            <w:rFonts w:ascii="Times New Roman" w:hAnsi="Times New Roman" w:cs="Times New Roman"/>
          </w:rPr>
        </w:pPr>
        <w:r w:rsidRPr="0048063C">
          <w:rPr>
            <w:rFonts w:ascii="Times New Roman" w:hAnsi="Times New Roman" w:cs="Times New Roman"/>
          </w:rPr>
          <w:fldChar w:fldCharType="begin"/>
        </w:r>
        <w:r w:rsidRPr="0048063C">
          <w:rPr>
            <w:rFonts w:ascii="Times New Roman" w:hAnsi="Times New Roman" w:cs="Times New Roman"/>
          </w:rPr>
          <w:instrText>PAGE   \* MERGEFORMAT</w:instrText>
        </w:r>
        <w:r w:rsidRPr="0048063C">
          <w:rPr>
            <w:rFonts w:ascii="Times New Roman" w:hAnsi="Times New Roman" w:cs="Times New Roman"/>
          </w:rPr>
          <w:fldChar w:fldCharType="separate"/>
        </w:r>
        <w:r w:rsidR="00506F06">
          <w:rPr>
            <w:rFonts w:ascii="Times New Roman" w:hAnsi="Times New Roman" w:cs="Times New Roman"/>
            <w:noProof/>
          </w:rPr>
          <w:t>6</w:t>
        </w:r>
        <w:r w:rsidRPr="0048063C">
          <w:rPr>
            <w:rFonts w:ascii="Times New Roman" w:hAnsi="Times New Roman" w:cs="Times New Roman"/>
          </w:rPr>
          <w:fldChar w:fldCharType="end"/>
        </w:r>
      </w:p>
    </w:sdtContent>
  </w:sdt>
  <w:p w:rsidR="0048063C" w:rsidRDefault="0048063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146" w:rsidRDefault="00D12146" w:rsidP="0048063C">
      <w:pPr>
        <w:spacing w:after="0" w:line="240" w:lineRule="auto"/>
      </w:pPr>
      <w:r>
        <w:separator/>
      </w:r>
    </w:p>
  </w:footnote>
  <w:footnote w:type="continuationSeparator" w:id="0">
    <w:p w:rsidR="00D12146" w:rsidRDefault="00D12146" w:rsidP="00480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B18B8"/>
    <w:multiLevelType w:val="hybridMultilevel"/>
    <w:tmpl w:val="163C6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67453"/>
    <w:multiLevelType w:val="hybridMultilevel"/>
    <w:tmpl w:val="D9CAD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877B0"/>
    <w:multiLevelType w:val="hybridMultilevel"/>
    <w:tmpl w:val="7F0EA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C7A3A"/>
    <w:multiLevelType w:val="hybridMultilevel"/>
    <w:tmpl w:val="A22E6A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B6F09F2"/>
    <w:multiLevelType w:val="hybridMultilevel"/>
    <w:tmpl w:val="6FB26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DE53D0"/>
    <w:multiLevelType w:val="hybridMultilevel"/>
    <w:tmpl w:val="3AFE8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B31838"/>
    <w:multiLevelType w:val="hybridMultilevel"/>
    <w:tmpl w:val="8A3E0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035E2"/>
    <w:multiLevelType w:val="hybridMultilevel"/>
    <w:tmpl w:val="D8861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CB5D92"/>
    <w:multiLevelType w:val="hybridMultilevel"/>
    <w:tmpl w:val="E52A1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9BF"/>
    <w:rsid w:val="001E5661"/>
    <w:rsid w:val="0048063C"/>
    <w:rsid w:val="00495C8B"/>
    <w:rsid w:val="00506F06"/>
    <w:rsid w:val="006659BF"/>
    <w:rsid w:val="006A6A37"/>
    <w:rsid w:val="006E65A9"/>
    <w:rsid w:val="006F04DF"/>
    <w:rsid w:val="008C74DA"/>
    <w:rsid w:val="00BB4DA2"/>
    <w:rsid w:val="00D12146"/>
    <w:rsid w:val="00F7218A"/>
    <w:rsid w:val="00FE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7517D-909D-44BC-A746-CC40E76A9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063C"/>
    <w:pPr>
      <w:autoSpaceDE w:val="0"/>
      <w:autoSpaceDN w:val="0"/>
      <w:adjustRightInd w:val="0"/>
      <w:spacing w:before="120" w:after="120" w:line="240" w:lineRule="auto"/>
      <w:outlineLvl w:val="0"/>
    </w:pPr>
    <w:rPr>
      <w:rFonts w:ascii="Times New Roman" w:hAnsi="Times New Roman" w:cs="Times New Roman"/>
      <w:b/>
      <w:bCs/>
      <w:color w:val="000000"/>
      <w:sz w:val="28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D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B4DA2"/>
    <w:pPr>
      <w:ind w:left="720"/>
      <w:contextualSpacing/>
    </w:pPr>
  </w:style>
  <w:style w:type="table" w:styleId="a4">
    <w:name w:val="Table Grid"/>
    <w:basedOn w:val="a1"/>
    <w:uiPriority w:val="39"/>
    <w:rsid w:val="001E5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8063C"/>
    <w:rPr>
      <w:rFonts w:ascii="Times New Roman" w:hAnsi="Times New Roman" w:cs="Times New Roman"/>
      <w:b/>
      <w:bCs/>
      <w:color w:val="000000"/>
      <w:sz w:val="28"/>
      <w:szCs w:val="23"/>
    </w:rPr>
  </w:style>
  <w:style w:type="paragraph" w:styleId="a5">
    <w:name w:val="TOC Heading"/>
    <w:basedOn w:val="1"/>
    <w:next w:val="a"/>
    <w:uiPriority w:val="39"/>
    <w:unhideWhenUsed/>
    <w:qFormat/>
    <w:rsid w:val="006F04DF"/>
    <w:pPr>
      <w:keepNext/>
      <w:keepLines/>
      <w:autoSpaceDE/>
      <w:autoSpaceDN/>
      <w:adjustRightInd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F04DF"/>
    <w:pPr>
      <w:spacing w:after="100"/>
    </w:pPr>
  </w:style>
  <w:style w:type="character" w:styleId="a6">
    <w:name w:val="Hyperlink"/>
    <w:basedOn w:val="a0"/>
    <w:uiPriority w:val="99"/>
    <w:unhideWhenUsed/>
    <w:rsid w:val="006F04DF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80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063C"/>
  </w:style>
  <w:style w:type="paragraph" w:styleId="a9">
    <w:name w:val="footer"/>
    <w:basedOn w:val="a"/>
    <w:link w:val="aa"/>
    <w:uiPriority w:val="99"/>
    <w:unhideWhenUsed/>
    <w:rsid w:val="00480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0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63E54-6088-4E44-AD4E-D7B82BB72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2654</Words>
  <Characters>15132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</dc:creator>
  <cp:keywords/>
  <dc:description/>
  <cp:lastModifiedBy>Papa</cp:lastModifiedBy>
  <cp:revision>5</cp:revision>
  <dcterms:created xsi:type="dcterms:W3CDTF">2023-09-15T07:07:00Z</dcterms:created>
  <dcterms:modified xsi:type="dcterms:W3CDTF">2023-09-15T08:23:00Z</dcterms:modified>
</cp:coreProperties>
</file>